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67" w:rsidRDefault="00167467" w:rsidP="00E31CF4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23727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467" w:rsidRDefault="00167467" w:rsidP="00E31CF4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BC4D0F" w:rsidRDefault="00167467" w:rsidP="00167467">
      <w:pPr>
        <w:pStyle w:val="NoSpacing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167467">
        <w:rPr>
          <w:rFonts w:ascii="Arial" w:hAnsi="Arial" w:cs="Arial"/>
          <w:b/>
          <w:sz w:val="24"/>
          <w:szCs w:val="24"/>
          <w:lang w:val="en"/>
        </w:rPr>
        <w:t xml:space="preserve">             </w:t>
      </w:r>
      <w:r w:rsidR="00BC4D0F" w:rsidRPr="00E31CF4">
        <w:rPr>
          <w:rFonts w:ascii="Arial" w:hAnsi="Arial" w:cs="Arial"/>
          <w:b/>
          <w:sz w:val="24"/>
          <w:szCs w:val="24"/>
          <w:u w:val="single"/>
          <w:lang w:val="en"/>
        </w:rPr>
        <w:t>End of Key Stage 2 Assessment Scores</w:t>
      </w:r>
    </w:p>
    <w:p w:rsidR="00E31CF4" w:rsidRDefault="00E31CF4" w:rsidP="00E31CF4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167467" w:rsidRPr="00E31CF4" w:rsidRDefault="00167467" w:rsidP="00E31CF4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BC4D0F" w:rsidRPr="00E31CF4" w:rsidRDefault="00BC4D0F" w:rsidP="00E31CF4">
      <w:pPr>
        <w:pStyle w:val="NoSpacing"/>
        <w:rPr>
          <w:rFonts w:ascii="Arial" w:hAnsi="Arial" w:cs="Arial"/>
          <w:b/>
          <w:sz w:val="24"/>
          <w:szCs w:val="24"/>
          <w:lang w:val="en"/>
        </w:rPr>
      </w:pPr>
      <w:r w:rsidRPr="00E31CF4">
        <w:rPr>
          <w:rFonts w:ascii="Arial" w:hAnsi="Arial" w:cs="Arial"/>
          <w:b/>
          <w:sz w:val="24"/>
          <w:szCs w:val="24"/>
          <w:lang w:val="en"/>
        </w:rPr>
        <w:t>Understanding the new Assessment without levels scoring system</w:t>
      </w:r>
    </w:p>
    <w:p w:rsidR="00E31CF4" w:rsidRDefault="00BC4D0F" w:rsidP="00E31CF4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E31CF4">
        <w:rPr>
          <w:rFonts w:ascii="Arial" w:hAnsi="Arial" w:cs="Arial"/>
          <w:sz w:val="24"/>
          <w:szCs w:val="24"/>
          <w:lang w:val="en"/>
        </w:rPr>
        <w:t xml:space="preserve">The KS2 tests are externally marked and marks are returned to schools via the </w:t>
      </w:r>
      <w:r w:rsidR="00E31CF4">
        <w:rPr>
          <w:rFonts w:ascii="Arial" w:hAnsi="Arial" w:cs="Arial"/>
          <w:sz w:val="24"/>
          <w:szCs w:val="24"/>
          <w:lang w:val="en"/>
        </w:rPr>
        <w:t xml:space="preserve">internet. </w:t>
      </w:r>
      <w:r w:rsidRPr="00E31CF4">
        <w:rPr>
          <w:rFonts w:ascii="Arial" w:hAnsi="Arial" w:cs="Arial"/>
          <w:sz w:val="24"/>
          <w:szCs w:val="24"/>
          <w:lang w:val="en"/>
        </w:rPr>
        <w:t>To receive a scaled score, each component of the test must have been sat by the pupil and the papers marked.</w:t>
      </w:r>
    </w:p>
    <w:p w:rsidR="00BC4D0F" w:rsidRPr="00E31CF4" w:rsidRDefault="00BC4D0F" w:rsidP="00E31CF4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E31CF4">
        <w:rPr>
          <w:rFonts w:ascii="Arial" w:hAnsi="Arial" w:cs="Arial"/>
          <w:sz w:val="24"/>
          <w:szCs w:val="24"/>
          <w:lang w:val="en"/>
        </w:rPr>
        <w:t>For those pupils, schools will receive:</w:t>
      </w:r>
    </w:p>
    <w:p w:rsidR="00BC4D0F" w:rsidRDefault="00BC4D0F" w:rsidP="00E31CF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en"/>
        </w:rPr>
      </w:pPr>
      <w:r w:rsidRPr="00E31CF4">
        <w:rPr>
          <w:rFonts w:ascii="Arial" w:hAnsi="Arial" w:cs="Arial"/>
          <w:sz w:val="24"/>
          <w:szCs w:val="24"/>
          <w:lang w:val="en"/>
        </w:rPr>
        <w:t>a raw score</w:t>
      </w:r>
    </w:p>
    <w:p w:rsidR="00BC4D0F" w:rsidRDefault="00BC4D0F" w:rsidP="00E31CF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en"/>
        </w:rPr>
      </w:pPr>
      <w:r w:rsidRPr="00E31CF4">
        <w:rPr>
          <w:rFonts w:ascii="Arial" w:hAnsi="Arial" w:cs="Arial"/>
          <w:sz w:val="24"/>
          <w:szCs w:val="24"/>
          <w:lang w:val="en"/>
        </w:rPr>
        <w:t>a scaled score (except where a pupil has too few marks to be awarded the minimum scaled score)</w:t>
      </w:r>
    </w:p>
    <w:p w:rsidR="00BC4D0F" w:rsidRDefault="00BC4D0F" w:rsidP="00E31CF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en"/>
        </w:rPr>
      </w:pPr>
      <w:r w:rsidRPr="00E31CF4">
        <w:rPr>
          <w:rFonts w:ascii="Arial" w:hAnsi="Arial" w:cs="Arial"/>
          <w:sz w:val="24"/>
          <w:szCs w:val="24"/>
          <w:lang w:val="en"/>
        </w:rPr>
        <w:t>either ‘NS’ (expected standard not achieved) or ‘AS’ (expected standard achieved)</w:t>
      </w:r>
    </w:p>
    <w:p w:rsidR="00E31CF4" w:rsidRPr="00E31CF4" w:rsidRDefault="00E31CF4" w:rsidP="00E31CF4">
      <w:pPr>
        <w:pStyle w:val="NoSpacing"/>
        <w:ind w:left="720"/>
        <w:rPr>
          <w:rFonts w:ascii="Arial" w:hAnsi="Arial" w:cs="Arial"/>
          <w:sz w:val="24"/>
          <w:szCs w:val="24"/>
          <w:lang w:val="en"/>
        </w:rPr>
      </w:pPr>
    </w:p>
    <w:p w:rsidR="00BC4D0F" w:rsidRDefault="00E31CF4" w:rsidP="00E31CF4">
      <w:pPr>
        <w:pStyle w:val="NoSpacing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A conversion table is used to illustrate</w:t>
      </w:r>
      <w:r w:rsidR="00BC4D0F" w:rsidRPr="00E31CF4">
        <w:rPr>
          <w:rFonts w:ascii="Arial" w:hAnsi="Arial" w:cs="Arial"/>
          <w:sz w:val="24"/>
          <w:szCs w:val="24"/>
          <w:lang w:val="en"/>
        </w:rPr>
        <w:t xml:space="preserve"> that sometimes 2 or more raw scores convert to the same scaled score. This is because data showed that the attainment of pupils who scored these total marks was not very different.</w:t>
      </w:r>
    </w:p>
    <w:p w:rsidR="00E31CF4" w:rsidRPr="00E31CF4" w:rsidRDefault="00E31CF4" w:rsidP="00E31CF4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:rsidR="00BC4D0F" w:rsidRPr="00E31CF4" w:rsidRDefault="00BC4D0F" w:rsidP="00E31CF4">
      <w:pPr>
        <w:pStyle w:val="NoSpacing"/>
        <w:rPr>
          <w:rFonts w:ascii="Arial" w:hAnsi="Arial" w:cs="Arial"/>
          <w:b/>
          <w:sz w:val="24"/>
          <w:szCs w:val="24"/>
          <w:lang w:val="en"/>
        </w:rPr>
      </w:pPr>
      <w:r w:rsidRPr="00E31CF4">
        <w:rPr>
          <w:rFonts w:ascii="Arial" w:hAnsi="Arial" w:cs="Arial"/>
          <w:b/>
          <w:sz w:val="24"/>
          <w:szCs w:val="24"/>
          <w:lang w:val="en"/>
        </w:rPr>
        <w:t>Range of scaled scores</w:t>
      </w:r>
    </w:p>
    <w:p w:rsidR="00BC4D0F" w:rsidRDefault="00BC4D0F" w:rsidP="00E31CF4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E31CF4">
        <w:rPr>
          <w:rFonts w:ascii="Arial" w:hAnsi="Arial" w:cs="Arial"/>
          <w:sz w:val="24"/>
          <w:szCs w:val="24"/>
          <w:lang w:val="en"/>
        </w:rPr>
        <w:t>The range of scaled scores available for each KS2 test is the same and will stay the same in future years:</w:t>
      </w:r>
      <w:r w:rsidR="00E31CF4">
        <w:rPr>
          <w:rFonts w:ascii="Arial" w:hAnsi="Arial" w:cs="Arial"/>
          <w:sz w:val="24"/>
          <w:szCs w:val="24"/>
          <w:lang w:val="en"/>
        </w:rPr>
        <w:t xml:space="preserve"> </w:t>
      </w:r>
      <w:r w:rsidRPr="00E31CF4">
        <w:rPr>
          <w:rFonts w:ascii="Arial" w:hAnsi="Arial" w:cs="Arial"/>
          <w:sz w:val="24"/>
          <w:szCs w:val="24"/>
          <w:lang w:val="en"/>
        </w:rPr>
        <w:t>80 is the lowest scaled score that can be awarded</w:t>
      </w:r>
      <w:r w:rsidR="00E31CF4">
        <w:rPr>
          <w:rFonts w:ascii="Arial" w:hAnsi="Arial" w:cs="Arial"/>
          <w:sz w:val="24"/>
          <w:szCs w:val="24"/>
          <w:lang w:val="en"/>
        </w:rPr>
        <w:t xml:space="preserve">. </w:t>
      </w:r>
      <w:r w:rsidRPr="00E31CF4">
        <w:rPr>
          <w:rFonts w:ascii="Arial" w:hAnsi="Arial" w:cs="Arial"/>
          <w:sz w:val="24"/>
          <w:szCs w:val="24"/>
          <w:lang w:val="en"/>
        </w:rPr>
        <w:t>120 is the highest scaled score</w:t>
      </w:r>
    </w:p>
    <w:p w:rsidR="00E31CF4" w:rsidRPr="00E31CF4" w:rsidRDefault="00E31CF4" w:rsidP="00E31CF4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:rsidR="00BC4D0F" w:rsidRDefault="00BC4D0F" w:rsidP="00E31CF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en"/>
        </w:rPr>
      </w:pPr>
      <w:r w:rsidRPr="00E31CF4">
        <w:rPr>
          <w:rFonts w:ascii="Arial" w:hAnsi="Arial" w:cs="Arial"/>
          <w:sz w:val="24"/>
          <w:szCs w:val="24"/>
          <w:lang w:val="en"/>
        </w:rPr>
        <w:t>A pupil awarded a scaled score of 100 or more has met the expected standard in each test.</w:t>
      </w:r>
    </w:p>
    <w:p w:rsidR="00BC4D0F" w:rsidRDefault="00BC4D0F" w:rsidP="00E31CF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en"/>
        </w:rPr>
      </w:pPr>
      <w:r w:rsidRPr="00E31CF4">
        <w:rPr>
          <w:rFonts w:ascii="Arial" w:hAnsi="Arial" w:cs="Arial"/>
          <w:sz w:val="24"/>
          <w:szCs w:val="24"/>
          <w:lang w:val="en"/>
        </w:rPr>
        <w:t>A pupil awarded a scaled score of 99 or less has not met the expected standard in the test.</w:t>
      </w:r>
    </w:p>
    <w:p w:rsidR="00E31CF4" w:rsidRPr="00E31CF4" w:rsidRDefault="00E31CF4" w:rsidP="00E31CF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en"/>
        </w:rPr>
      </w:pPr>
    </w:p>
    <w:p w:rsidR="00BC4D0F" w:rsidRDefault="00BC4D0F" w:rsidP="00E31CF4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E31CF4">
        <w:rPr>
          <w:rFonts w:ascii="Arial" w:hAnsi="Arial" w:cs="Arial"/>
          <w:sz w:val="24"/>
          <w:szCs w:val="24"/>
          <w:lang w:val="en"/>
        </w:rPr>
        <w:t>As tests and teacher assessment (TA) are different forms of assessment, they do not report using the same scale. As a result, there are no scaled score equivalents to the TA concepts of ‘working towards the expected standard’ or ‘exceeding the expected standard’.</w:t>
      </w:r>
      <w:r w:rsidR="00E31CF4">
        <w:rPr>
          <w:rFonts w:ascii="Arial" w:hAnsi="Arial" w:cs="Arial"/>
          <w:sz w:val="24"/>
          <w:szCs w:val="24"/>
          <w:lang w:val="en"/>
        </w:rPr>
        <w:t xml:space="preserve"> Teacher assessment scores are used to calculate the attainment of pupils in writing.</w:t>
      </w:r>
    </w:p>
    <w:p w:rsidR="00E31CF4" w:rsidRPr="00E31CF4" w:rsidRDefault="00E31CF4" w:rsidP="00E31CF4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:rsidR="00BC4D0F" w:rsidRPr="00E31CF4" w:rsidRDefault="00E31CF4" w:rsidP="00E31CF4">
      <w:pPr>
        <w:pStyle w:val="NoSpacing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E31CF4">
        <w:rPr>
          <w:rFonts w:ascii="Arial" w:hAnsi="Arial" w:cs="Arial"/>
          <w:b/>
          <w:sz w:val="24"/>
          <w:szCs w:val="24"/>
          <w:u w:val="single"/>
          <w:lang w:val="en"/>
        </w:rPr>
        <w:t xml:space="preserve">Shobnall </w:t>
      </w:r>
      <w:r w:rsidR="00BC4D0F" w:rsidRPr="00E31CF4">
        <w:rPr>
          <w:rFonts w:ascii="Arial" w:hAnsi="Arial" w:cs="Arial"/>
          <w:b/>
          <w:sz w:val="24"/>
          <w:szCs w:val="24"/>
          <w:u w:val="single"/>
          <w:lang w:val="en"/>
        </w:rPr>
        <w:t>School attainment 2015 – 2016</w:t>
      </w:r>
    </w:p>
    <w:p w:rsidR="007520C7" w:rsidRDefault="007520C7" w:rsidP="00E31CF4">
      <w:pPr>
        <w:pStyle w:val="NoSpacing"/>
        <w:rPr>
          <w:rFonts w:ascii="Arial" w:hAnsi="Arial" w:cs="Arial"/>
          <w:sz w:val="24"/>
          <w:szCs w:val="24"/>
          <w:lang w:val="en"/>
        </w:rPr>
      </w:pP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1606"/>
        <w:gridCol w:w="1581"/>
        <w:gridCol w:w="1571"/>
        <w:gridCol w:w="1670"/>
        <w:gridCol w:w="1571"/>
        <w:gridCol w:w="1581"/>
        <w:gridCol w:w="1670"/>
      </w:tblGrid>
      <w:tr w:rsidR="00167467" w:rsidTr="00167467">
        <w:tc>
          <w:tcPr>
            <w:tcW w:w="1607" w:type="dxa"/>
            <w:shd w:val="clear" w:color="auto" w:fill="D9D9D9" w:themeFill="background1" w:themeFillShade="D9"/>
          </w:tcPr>
          <w:p w:rsidR="007520C7" w:rsidRPr="00167467" w:rsidRDefault="007520C7" w:rsidP="0016746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167467">
              <w:rPr>
                <w:rFonts w:ascii="Arial" w:hAnsi="Arial" w:cs="Arial"/>
                <w:b/>
                <w:sz w:val="24"/>
                <w:szCs w:val="24"/>
                <w:lang w:val="en"/>
              </w:rPr>
              <w:t>Subject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7520C7" w:rsidRPr="00167467" w:rsidRDefault="007520C7" w:rsidP="0016746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167467">
              <w:rPr>
                <w:rFonts w:ascii="Arial" w:hAnsi="Arial" w:cs="Arial"/>
                <w:b/>
                <w:sz w:val="24"/>
                <w:szCs w:val="24"/>
                <w:lang w:val="en"/>
              </w:rPr>
              <w:t>Average scaled score nationally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7520C7" w:rsidRPr="00167467" w:rsidRDefault="007520C7" w:rsidP="0016746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167467">
              <w:rPr>
                <w:rFonts w:ascii="Arial" w:hAnsi="Arial" w:cs="Arial"/>
                <w:b/>
                <w:sz w:val="24"/>
                <w:szCs w:val="24"/>
                <w:lang w:val="en"/>
              </w:rPr>
              <w:t>Average scaled score for Shobnall Primary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7520C7" w:rsidRPr="00167467" w:rsidRDefault="007520C7" w:rsidP="0016746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167467">
              <w:rPr>
                <w:rFonts w:ascii="Arial" w:hAnsi="Arial" w:cs="Arial"/>
                <w:b/>
                <w:sz w:val="24"/>
                <w:szCs w:val="24"/>
                <w:lang w:val="en"/>
              </w:rPr>
              <w:t>School performance comparison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7520C7" w:rsidRPr="00167467" w:rsidRDefault="007520C7" w:rsidP="0016746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167467">
              <w:rPr>
                <w:rFonts w:ascii="Arial" w:hAnsi="Arial" w:cs="Arial"/>
                <w:b/>
                <w:sz w:val="24"/>
                <w:szCs w:val="24"/>
                <w:lang w:val="en"/>
              </w:rPr>
              <w:t>Number and % of pupils meeting standard (AS)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7520C7" w:rsidRPr="00167467" w:rsidRDefault="007520C7" w:rsidP="0016746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167467">
              <w:rPr>
                <w:rFonts w:ascii="Arial" w:hAnsi="Arial" w:cs="Arial"/>
                <w:b/>
                <w:sz w:val="24"/>
                <w:szCs w:val="24"/>
                <w:lang w:val="en"/>
              </w:rPr>
              <w:t>% of pupils nation</w:t>
            </w:r>
            <w:r w:rsidR="00167467" w:rsidRPr="00167467">
              <w:rPr>
                <w:rFonts w:ascii="Arial" w:hAnsi="Arial" w:cs="Arial"/>
                <w:b/>
                <w:sz w:val="24"/>
                <w:szCs w:val="24"/>
                <w:lang w:val="en"/>
              </w:rPr>
              <w:t>a</w:t>
            </w:r>
            <w:r w:rsidRPr="00167467">
              <w:rPr>
                <w:rFonts w:ascii="Arial" w:hAnsi="Arial" w:cs="Arial"/>
                <w:b/>
                <w:sz w:val="24"/>
                <w:szCs w:val="24"/>
                <w:lang w:val="en"/>
              </w:rPr>
              <w:t>lly meeting standard</w:t>
            </w:r>
          </w:p>
          <w:p w:rsidR="007520C7" w:rsidRPr="00167467" w:rsidRDefault="007520C7" w:rsidP="0016746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167467">
              <w:rPr>
                <w:rFonts w:ascii="Arial" w:hAnsi="Arial" w:cs="Arial"/>
                <w:b/>
                <w:sz w:val="24"/>
                <w:szCs w:val="24"/>
                <w:lang w:val="en"/>
              </w:rPr>
              <w:t>(AS)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7520C7" w:rsidRPr="00167467" w:rsidRDefault="00167467" w:rsidP="0016746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167467">
              <w:rPr>
                <w:rFonts w:ascii="Arial" w:hAnsi="Arial" w:cs="Arial"/>
                <w:b/>
                <w:sz w:val="24"/>
                <w:szCs w:val="24"/>
                <w:lang w:val="en"/>
              </w:rPr>
              <w:t>School performance comparison</w:t>
            </w:r>
          </w:p>
        </w:tc>
      </w:tr>
      <w:tr w:rsidR="007520C7" w:rsidTr="00167467">
        <w:tc>
          <w:tcPr>
            <w:tcW w:w="1607" w:type="dxa"/>
            <w:shd w:val="clear" w:color="auto" w:fill="D9D9D9" w:themeFill="background1" w:themeFillShade="D9"/>
          </w:tcPr>
          <w:p w:rsidR="007520C7" w:rsidRPr="00167467" w:rsidRDefault="007520C7" w:rsidP="0016746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167467">
              <w:rPr>
                <w:rFonts w:ascii="Arial" w:hAnsi="Arial" w:cs="Arial"/>
                <w:b/>
                <w:sz w:val="24"/>
                <w:szCs w:val="24"/>
                <w:lang w:val="en"/>
              </w:rPr>
              <w:t>Reading</w:t>
            </w:r>
          </w:p>
        </w:tc>
        <w:tc>
          <w:tcPr>
            <w:tcW w:w="1607" w:type="dxa"/>
          </w:tcPr>
          <w:p w:rsidR="007520C7" w:rsidRDefault="007520C7" w:rsidP="0016746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103</w:t>
            </w:r>
          </w:p>
        </w:tc>
        <w:tc>
          <w:tcPr>
            <w:tcW w:w="1607" w:type="dxa"/>
          </w:tcPr>
          <w:p w:rsidR="007520C7" w:rsidRDefault="007520C7" w:rsidP="0016746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108.9</w:t>
            </w:r>
          </w:p>
        </w:tc>
        <w:tc>
          <w:tcPr>
            <w:tcW w:w="1607" w:type="dxa"/>
          </w:tcPr>
          <w:p w:rsidR="007520C7" w:rsidRDefault="007520C7" w:rsidP="0016746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+5.9</w:t>
            </w:r>
          </w:p>
        </w:tc>
        <w:tc>
          <w:tcPr>
            <w:tcW w:w="1607" w:type="dxa"/>
          </w:tcPr>
          <w:p w:rsidR="007520C7" w:rsidRDefault="007520C7" w:rsidP="0016746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94%</w:t>
            </w:r>
          </w:p>
        </w:tc>
        <w:tc>
          <w:tcPr>
            <w:tcW w:w="1607" w:type="dxa"/>
          </w:tcPr>
          <w:p w:rsidR="007520C7" w:rsidRDefault="007520C7" w:rsidP="0016746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66%</w:t>
            </w:r>
          </w:p>
        </w:tc>
        <w:tc>
          <w:tcPr>
            <w:tcW w:w="1608" w:type="dxa"/>
          </w:tcPr>
          <w:p w:rsidR="007520C7" w:rsidRDefault="00167467" w:rsidP="0016746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+28%</w:t>
            </w:r>
          </w:p>
        </w:tc>
      </w:tr>
      <w:tr w:rsidR="007520C7" w:rsidTr="00167467">
        <w:tc>
          <w:tcPr>
            <w:tcW w:w="1607" w:type="dxa"/>
            <w:shd w:val="clear" w:color="auto" w:fill="D9D9D9" w:themeFill="background1" w:themeFillShade="D9"/>
          </w:tcPr>
          <w:p w:rsidR="007520C7" w:rsidRPr="00167467" w:rsidRDefault="007520C7" w:rsidP="0016746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167467">
              <w:rPr>
                <w:rFonts w:ascii="Arial" w:hAnsi="Arial" w:cs="Arial"/>
                <w:b/>
                <w:sz w:val="24"/>
                <w:szCs w:val="24"/>
                <w:lang w:val="en"/>
              </w:rPr>
              <w:t>Grammar, punctuation and spelling</w:t>
            </w:r>
          </w:p>
        </w:tc>
        <w:tc>
          <w:tcPr>
            <w:tcW w:w="1607" w:type="dxa"/>
          </w:tcPr>
          <w:p w:rsidR="007520C7" w:rsidRDefault="007520C7" w:rsidP="0016746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104</w:t>
            </w:r>
          </w:p>
        </w:tc>
        <w:tc>
          <w:tcPr>
            <w:tcW w:w="1607" w:type="dxa"/>
          </w:tcPr>
          <w:p w:rsidR="007520C7" w:rsidRDefault="007520C7" w:rsidP="0016746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108.1</w:t>
            </w:r>
          </w:p>
        </w:tc>
        <w:tc>
          <w:tcPr>
            <w:tcW w:w="1607" w:type="dxa"/>
          </w:tcPr>
          <w:p w:rsidR="007520C7" w:rsidRDefault="007520C7" w:rsidP="0016746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+4.1</w:t>
            </w:r>
          </w:p>
        </w:tc>
        <w:tc>
          <w:tcPr>
            <w:tcW w:w="1607" w:type="dxa"/>
          </w:tcPr>
          <w:p w:rsidR="007520C7" w:rsidRDefault="007520C7" w:rsidP="0016746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86%</w:t>
            </w:r>
          </w:p>
        </w:tc>
        <w:tc>
          <w:tcPr>
            <w:tcW w:w="1607" w:type="dxa"/>
          </w:tcPr>
          <w:p w:rsidR="007520C7" w:rsidRDefault="007520C7" w:rsidP="0016746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72%</w:t>
            </w:r>
          </w:p>
        </w:tc>
        <w:tc>
          <w:tcPr>
            <w:tcW w:w="1608" w:type="dxa"/>
          </w:tcPr>
          <w:p w:rsidR="007520C7" w:rsidRDefault="00167467" w:rsidP="0016746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+14%</w:t>
            </w:r>
          </w:p>
        </w:tc>
      </w:tr>
      <w:tr w:rsidR="007520C7" w:rsidTr="00167467">
        <w:tc>
          <w:tcPr>
            <w:tcW w:w="1607" w:type="dxa"/>
            <w:shd w:val="clear" w:color="auto" w:fill="D9D9D9" w:themeFill="background1" w:themeFillShade="D9"/>
          </w:tcPr>
          <w:p w:rsidR="007520C7" w:rsidRPr="00167467" w:rsidRDefault="007520C7" w:rsidP="0016746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proofErr w:type="spellStart"/>
            <w:r w:rsidRPr="00167467">
              <w:rPr>
                <w:rFonts w:ascii="Arial" w:hAnsi="Arial" w:cs="Arial"/>
                <w:b/>
                <w:sz w:val="24"/>
                <w:szCs w:val="24"/>
                <w:lang w:val="en"/>
              </w:rPr>
              <w:t>Maths</w:t>
            </w:r>
            <w:proofErr w:type="spellEnd"/>
          </w:p>
        </w:tc>
        <w:tc>
          <w:tcPr>
            <w:tcW w:w="1607" w:type="dxa"/>
          </w:tcPr>
          <w:p w:rsidR="007520C7" w:rsidRPr="007520C7" w:rsidRDefault="007520C7" w:rsidP="0016746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103</w:t>
            </w:r>
          </w:p>
        </w:tc>
        <w:tc>
          <w:tcPr>
            <w:tcW w:w="1607" w:type="dxa"/>
          </w:tcPr>
          <w:p w:rsidR="007520C7" w:rsidRDefault="007520C7" w:rsidP="0016746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7520C7">
              <w:rPr>
                <w:rFonts w:ascii="Arial" w:hAnsi="Arial" w:cs="Arial"/>
                <w:sz w:val="24"/>
                <w:szCs w:val="24"/>
                <w:lang w:val="en"/>
              </w:rPr>
              <w:t>105.03</w:t>
            </w:r>
          </w:p>
        </w:tc>
        <w:tc>
          <w:tcPr>
            <w:tcW w:w="1607" w:type="dxa"/>
          </w:tcPr>
          <w:p w:rsidR="007520C7" w:rsidRDefault="007520C7" w:rsidP="0016746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+2.03</w:t>
            </w:r>
          </w:p>
        </w:tc>
        <w:tc>
          <w:tcPr>
            <w:tcW w:w="1607" w:type="dxa"/>
          </w:tcPr>
          <w:p w:rsidR="007520C7" w:rsidRDefault="007520C7" w:rsidP="0016746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81%</w:t>
            </w:r>
          </w:p>
        </w:tc>
        <w:tc>
          <w:tcPr>
            <w:tcW w:w="1607" w:type="dxa"/>
          </w:tcPr>
          <w:p w:rsidR="007520C7" w:rsidRDefault="007520C7" w:rsidP="0016746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70%</w:t>
            </w:r>
          </w:p>
        </w:tc>
        <w:tc>
          <w:tcPr>
            <w:tcW w:w="1608" w:type="dxa"/>
          </w:tcPr>
          <w:p w:rsidR="007520C7" w:rsidRDefault="00167467" w:rsidP="0016746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+11%</w:t>
            </w:r>
          </w:p>
        </w:tc>
      </w:tr>
    </w:tbl>
    <w:p w:rsidR="001B5081" w:rsidRDefault="001B5081">
      <w:bookmarkStart w:id="0" w:name="_GoBack"/>
      <w:bookmarkEnd w:id="0"/>
    </w:p>
    <w:sectPr w:rsidR="001B5081" w:rsidSect="0016746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455F4"/>
    <w:multiLevelType w:val="hybridMultilevel"/>
    <w:tmpl w:val="DAF69500"/>
    <w:lvl w:ilvl="0" w:tplc="91063F82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86C60"/>
    <w:multiLevelType w:val="multilevel"/>
    <w:tmpl w:val="F242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F1271C"/>
    <w:multiLevelType w:val="multilevel"/>
    <w:tmpl w:val="3EE8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0F"/>
    <w:rsid w:val="00167467"/>
    <w:rsid w:val="001B5081"/>
    <w:rsid w:val="002C0E4E"/>
    <w:rsid w:val="007520C7"/>
    <w:rsid w:val="00893EDD"/>
    <w:rsid w:val="00BC4D0F"/>
    <w:rsid w:val="00E3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8A6E3-0510-4009-AE3B-BF2B82CC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CF4"/>
    <w:pPr>
      <w:spacing w:after="0" w:line="240" w:lineRule="auto"/>
    </w:pPr>
  </w:style>
  <w:style w:type="table" w:styleId="TableGrid">
    <w:name w:val="Table Grid"/>
    <w:basedOn w:val="TableNormal"/>
    <w:uiPriority w:val="39"/>
    <w:rsid w:val="00752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CCD6CDBA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Shobnall Primary School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Cruise</dc:creator>
  <cp:keywords/>
  <dc:description/>
  <cp:lastModifiedBy>Rebecca Ellerton</cp:lastModifiedBy>
  <cp:revision>3</cp:revision>
  <cp:lastPrinted>2016-09-21T10:56:00Z</cp:lastPrinted>
  <dcterms:created xsi:type="dcterms:W3CDTF">2016-09-21T10:57:00Z</dcterms:created>
  <dcterms:modified xsi:type="dcterms:W3CDTF">2016-09-21T12:26:00Z</dcterms:modified>
</cp:coreProperties>
</file>